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Default="005D6DA1" w:rsidP="005D6DA1">
      <w:pPr>
        <w:pStyle w:val="DSHeaderPressFact"/>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EF3074" wp14:editId="46217BE6">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Default="005D6DA1" w:rsidP="005D6DA1">
                            <w:pPr>
                              <w:pStyle w:val="DSHeaderPressFact"/>
                            </w:pPr>
                            <w:r>
                              <w:t>Press Contact</w:t>
                            </w:r>
                          </w:p>
                          <w:p w:rsidR="005D6DA1" w:rsidRPr="009807BA" w:rsidRDefault="005D6DA1" w:rsidP="009807BA">
                            <w:pPr>
                              <w:pStyle w:val="DSStandardSidebox"/>
                            </w:pPr>
                            <w:r w:rsidRPr="009807BA">
                              <w:t>Marion Par-Weixlberger</w:t>
                            </w:r>
                          </w:p>
                          <w:p w:rsidR="002420F1" w:rsidRPr="008B3071" w:rsidRDefault="002420F1" w:rsidP="002420F1">
                            <w:pPr>
                              <w:pStyle w:val="DSStandardSidebox"/>
                            </w:pPr>
                            <w:r w:rsidRPr="008B3071">
                              <w:t>Senior Corporate PR-Manager</w:t>
                            </w:r>
                          </w:p>
                          <w:p w:rsidR="005D6DA1" w:rsidRPr="008B3071" w:rsidRDefault="005D6DA1" w:rsidP="009807BA">
                            <w:pPr>
                              <w:pStyle w:val="DSStandardSidebox"/>
                              <w:rPr>
                                <w:lang w:val="de-DE"/>
                              </w:rPr>
                            </w:pPr>
                            <w:r w:rsidRPr="008B3071">
                              <w:rPr>
                                <w:lang w:val="de-DE"/>
                              </w:rPr>
                              <w:t>Sirona Straße 1</w:t>
                            </w:r>
                          </w:p>
                          <w:p w:rsidR="005D6DA1" w:rsidRPr="008B3071" w:rsidRDefault="005D6DA1" w:rsidP="009807BA">
                            <w:pPr>
                              <w:pStyle w:val="DSStandardSidebox"/>
                              <w:rPr>
                                <w:lang w:val="de-DE"/>
                              </w:rPr>
                            </w:pPr>
                            <w:r w:rsidRPr="008B3071">
                              <w:rPr>
                                <w:lang w:val="de-DE"/>
                              </w:rPr>
                              <w:t>5071 Wals bei Salzburg, Austria</w:t>
                            </w:r>
                          </w:p>
                          <w:p w:rsidR="005D6DA1" w:rsidRPr="008B3071" w:rsidRDefault="005D6DA1" w:rsidP="009807BA">
                            <w:pPr>
                              <w:pStyle w:val="DSStandardSidebox"/>
                              <w:rPr>
                                <w:lang w:val="de-DE"/>
                              </w:rPr>
                            </w:pPr>
                            <w:r w:rsidRPr="008B3071">
                              <w:rPr>
                                <w:lang w:val="de-DE"/>
                              </w:rPr>
                              <w:t>T  +43 (0) 662 2450-588</w:t>
                            </w:r>
                          </w:p>
                          <w:p w:rsidR="009807BA" w:rsidRPr="008B3071" w:rsidRDefault="005D6DA1" w:rsidP="009807BA">
                            <w:pPr>
                              <w:pStyle w:val="DSStandardSidebox"/>
                              <w:rPr>
                                <w:lang w:val="de-DE"/>
                              </w:rPr>
                            </w:pPr>
                            <w:r w:rsidRPr="008B3071">
                              <w:rPr>
                                <w:lang w:val="de-DE"/>
                              </w:rPr>
                              <w:t>F  +43 (0) 662 2450-540</w:t>
                            </w:r>
                          </w:p>
                          <w:p w:rsidR="004D13F9" w:rsidRDefault="004D13F9" w:rsidP="004D13F9">
                            <w:pPr>
                              <w:pStyle w:val="SidebarLink"/>
                            </w:pPr>
                            <w:r w:rsidRPr="004D13F9">
                              <w:t>marion.par-weixlberger@</w:t>
                            </w:r>
                            <w:r w:rsidR="0038709E">
                              <w:t>dentsply</w:t>
                            </w:r>
                            <w:r w:rsidRPr="004D13F9">
                              <w:t>sirona.com</w:t>
                            </w:r>
                          </w:p>
                          <w:p w:rsidR="004D13F9" w:rsidRPr="008B3071" w:rsidRDefault="004D13F9" w:rsidP="009807BA">
                            <w:pPr>
                              <w:pStyle w:val="DSStandardSidebox"/>
                              <w:rPr>
                                <w:lang w:val="de-DE"/>
                              </w:rPr>
                            </w:pPr>
                          </w:p>
                          <w:p w:rsidR="009807BA" w:rsidRPr="00D83DD4" w:rsidRDefault="009807BA" w:rsidP="009807BA">
                            <w:pPr>
                              <w:pStyle w:val="DSStandard"/>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
                              <w:rPr>
                                <w:lang w:val="de-DE"/>
                              </w:rPr>
                            </w:pPr>
                          </w:p>
                          <w:p w:rsidR="009807BA" w:rsidRPr="00D83DD4"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Default="005D6DA1" w:rsidP="005D6DA1">
                      <w:pPr>
                        <w:pStyle w:val="DSHeaderPressFact"/>
                      </w:pPr>
                      <w:r>
                        <w:t>Press Contact</w:t>
                      </w:r>
                    </w:p>
                    <w:p w:rsidR="005D6DA1" w:rsidRPr="009807BA" w:rsidRDefault="005D6DA1" w:rsidP="009807BA">
                      <w:pPr>
                        <w:pStyle w:val="DSStandardSidebox"/>
                      </w:pPr>
                      <w:r w:rsidRPr="009807BA">
                        <w:t>Marion Par-Weixlberger</w:t>
                      </w:r>
                    </w:p>
                    <w:p w:rsidR="002420F1" w:rsidRPr="008B3071" w:rsidRDefault="002420F1" w:rsidP="002420F1">
                      <w:pPr>
                        <w:pStyle w:val="DSStandardSidebox"/>
                      </w:pPr>
                      <w:r w:rsidRPr="008B3071">
                        <w:t>Senior Corporate PR-Manager</w:t>
                      </w:r>
                    </w:p>
                    <w:p w:rsidR="005D6DA1" w:rsidRPr="008B3071" w:rsidRDefault="005D6DA1" w:rsidP="009807BA">
                      <w:pPr>
                        <w:pStyle w:val="DSStandardSidebox"/>
                        <w:rPr>
                          <w:lang w:val="de-DE"/>
                        </w:rPr>
                      </w:pPr>
                      <w:r w:rsidRPr="008B3071">
                        <w:rPr>
                          <w:lang w:val="de-DE"/>
                        </w:rPr>
                        <w:t>Sirona Straße 1</w:t>
                      </w:r>
                    </w:p>
                    <w:p w:rsidR="005D6DA1" w:rsidRPr="008B3071" w:rsidRDefault="005D6DA1" w:rsidP="009807BA">
                      <w:pPr>
                        <w:pStyle w:val="DSStandardSidebox"/>
                        <w:rPr>
                          <w:lang w:val="de-DE"/>
                        </w:rPr>
                      </w:pPr>
                      <w:r w:rsidRPr="008B3071">
                        <w:rPr>
                          <w:lang w:val="de-DE"/>
                        </w:rPr>
                        <w:t>5071 Wals bei Salzburg, Austria</w:t>
                      </w:r>
                    </w:p>
                    <w:p w:rsidR="005D6DA1" w:rsidRPr="008B3071" w:rsidRDefault="005D6DA1" w:rsidP="009807BA">
                      <w:pPr>
                        <w:pStyle w:val="DSStandardSidebox"/>
                        <w:rPr>
                          <w:lang w:val="de-DE"/>
                        </w:rPr>
                      </w:pPr>
                      <w:r w:rsidRPr="008B3071">
                        <w:rPr>
                          <w:lang w:val="de-DE"/>
                        </w:rPr>
                        <w:t>T  +43 (0) 662 2450-588</w:t>
                      </w:r>
                    </w:p>
                    <w:p w:rsidR="009807BA" w:rsidRPr="008B3071" w:rsidRDefault="005D6DA1" w:rsidP="009807BA">
                      <w:pPr>
                        <w:pStyle w:val="DSStandardSidebox"/>
                        <w:rPr>
                          <w:lang w:val="de-DE"/>
                        </w:rPr>
                      </w:pPr>
                      <w:r w:rsidRPr="008B3071">
                        <w:rPr>
                          <w:lang w:val="de-DE"/>
                        </w:rPr>
                        <w:t>F  +43 (0) 662 2450-540</w:t>
                      </w:r>
                    </w:p>
                    <w:p w:rsidR="004D13F9" w:rsidRDefault="004D13F9" w:rsidP="004D13F9">
                      <w:pPr>
                        <w:pStyle w:val="SidebarLink"/>
                      </w:pPr>
                      <w:r w:rsidRPr="004D13F9">
                        <w:t>marion.par-weixlberger@</w:t>
                      </w:r>
                      <w:r w:rsidR="0038709E">
                        <w:t>dentsply</w:t>
                      </w:r>
                      <w:r w:rsidRPr="004D13F9">
                        <w:t>sirona.com</w:t>
                      </w:r>
                    </w:p>
                    <w:p w:rsidR="004D13F9" w:rsidRPr="008B3071" w:rsidRDefault="004D13F9" w:rsidP="009807BA">
                      <w:pPr>
                        <w:pStyle w:val="DSStandardSidebox"/>
                        <w:rPr>
                          <w:lang w:val="de-DE"/>
                        </w:rPr>
                      </w:pPr>
                    </w:p>
                    <w:p w:rsidR="009807BA" w:rsidRPr="00D83DD4" w:rsidRDefault="009807BA" w:rsidP="009807BA">
                      <w:pPr>
                        <w:pStyle w:val="DSStandard"/>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Sidebox"/>
                        <w:rPr>
                          <w:lang w:val="de-DE"/>
                        </w:rPr>
                      </w:pPr>
                    </w:p>
                    <w:p w:rsidR="004D13F9" w:rsidRPr="00D83DD4" w:rsidRDefault="004D13F9" w:rsidP="004D13F9">
                      <w:pPr>
                        <w:pStyle w:val="DSStandard"/>
                        <w:rPr>
                          <w:lang w:val="de-DE"/>
                        </w:rPr>
                      </w:pPr>
                    </w:p>
                    <w:p w:rsidR="009807BA" w:rsidRPr="00D83DD4" w:rsidRDefault="009807BA" w:rsidP="009807BA">
                      <w:pPr>
                        <w:pStyle w:val="DSStandard"/>
                        <w:rPr>
                          <w:lang w:val="de-DE"/>
                        </w:rPr>
                      </w:pPr>
                    </w:p>
                  </w:txbxContent>
                </v:textbox>
                <w10:wrap type="square"/>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A05E70" w:rsidP="005D6DA1">
                            <w:pPr>
                              <w:pStyle w:val="DSHeaderPressFact"/>
                            </w:pPr>
                            <w:r>
                              <w:t>Fact Sheet</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A05E70" w:rsidP="005D6DA1">
                      <w:pPr>
                        <w:pStyle w:val="DSHeaderPressFact"/>
                      </w:pPr>
                      <w:r>
                        <w:t>Fact Sheet</w:t>
                      </w:r>
                    </w:p>
                    <w:p w:rsidR="00B275B6" w:rsidRDefault="00B275B6" w:rsidP="00461142">
                      <w:pPr>
                        <w:pStyle w:val="DSAdressField"/>
                      </w:pPr>
                    </w:p>
                  </w:txbxContent>
                </v:textbox>
                <w10:wrap anchorx="page" anchory="page"/>
              </v:shape>
            </w:pict>
          </mc:Fallback>
        </mc:AlternateContent>
      </w:r>
      <w:r w:rsidR="0038106A">
        <w:t xml:space="preserve">Dentsply Sirona at a Glance </w:t>
      </w:r>
    </w:p>
    <w:p w:rsidR="0038106A" w:rsidRPr="0038106A" w:rsidRDefault="0038106A" w:rsidP="008B3071">
      <w:pPr>
        <w:pStyle w:val="DSStandard"/>
        <w:rPr>
          <w:lang w:eastAsia="ja-JP"/>
        </w:rPr>
      </w:pPr>
      <w:r w:rsidRPr="00CA6288">
        <w:rPr>
          <w:lang w:eastAsia="ja-JP"/>
        </w:rPr>
        <w:t xml:space="preserve">Dentsply Sirona is the world’s largest manufacturer of professional dental products and technologies. </w:t>
      </w:r>
      <w:r w:rsidRPr="00754C90">
        <w:rPr>
          <w:lang w:eastAsia="ja-JP"/>
        </w:rPr>
        <w:t xml:space="preserve">The Company has a comprehensive end-to-end solutions offering of dental and oral health products. </w:t>
      </w:r>
      <w:r w:rsidRPr="0038106A">
        <w:rPr>
          <w:lang w:eastAsia="ja-JP"/>
        </w:rPr>
        <w:t>This offering includes some of the best-known and established brands in the industry. The Company develops, manufactures and markets general dental supplies, CAD/CAM restoration systems (CEREC</w:t>
      </w:r>
      <w:r w:rsidR="0038709E">
        <w:rPr>
          <w:lang w:eastAsia="ja-JP"/>
        </w:rPr>
        <w:t xml:space="preserve"> and inLab</w:t>
      </w:r>
      <w:r w:rsidRPr="0038106A">
        <w:rPr>
          <w:lang w:eastAsia="ja-JP"/>
        </w:rPr>
        <w:t xml:space="preserve">), a full suite of dental restorative products, imaging systems, instruments, treatment centers, hygiene systems, dental lasers and products supporting the dental specialty markets of orthodontics, endodontics and implants. In addition, the Company has a global consumable healthcare products business. </w:t>
      </w:r>
    </w:p>
    <w:p w:rsidR="0038106A" w:rsidRDefault="0038106A" w:rsidP="008B3071">
      <w:pPr>
        <w:pStyle w:val="DSStandard"/>
        <w:rPr>
          <w:lang w:eastAsia="ja-JP"/>
        </w:rPr>
      </w:pPr>
      <w:r w:rsidRPr="00CA6288">
        <w:rPr>
          <w:lang w:eastAsia="ja-JP"/>
        </w:rPr>
        <w:t>Dentsply Sirona was created in 2016 when DENTSPLY International and Sirona Dental Systems completed a merger of equals. The Company’s shares are listed in the United States on NASDAQ under the symbol XRAY. An employer of choice, Dentsply Sirona employs a workforce of approximately 15,000 employees with locations in more than 40 countries worldwide. With a sales presence in more than 120 countries, patients and practitioners virtually everywhere in the world rely on Dentsply Sirona to deliver dental and healthcare solutions for better, safer and faster dentistry</w:t>
      </w:r>
      <w:r>
        <w:rPr>
          <w:lang w:eastAsia="ja-JP"/>
        </w:rPr>
        <w:t>.</w:t>
      </w:r>
    </w:p>
    <w:p w:rsidR="0038106A" w:rsidRDefault="0038106A" w:rsidP="0038106A">
      <w:pPr>
        <w:pStyle w:val="DSStandard"/>
        <w:rPr>
          <w:b/>
          <w:szCs w:val="20"/>
        </w:rPr>
      </w:pPr>
      <w:r w:rsidRPr="006A6FAF">
        <w:rPr>
          <w:b/>
          <w:szCs w:val="20"/>
        </w:rPr>
        <w:t>Largest global footprint in dentistry</w:t>
      </w:r>
    </w:p>
    <w:p w:rsidR="00D46987" w:rsidRDefault="00D46987" w:rsidP="0038106A">
      <w:pPr>
        <w:pStyle w:val="DSStandard"/>
        <w:rPr>
          <w:b/>
          <w:szCs w:val="20"/>
        </w:rPr>
      </w:pPr>
      <w:r>
        <w:rPr>
          <w:b/>
          <w:noProof/>
          <w:szCs w:val="20"/>
          <w:lang w:val="de-DE"/>
        </w:rPr>
        <w:drawing>
          <wp:inline distT="0" distB="0" distL="0" distR="0">
            <wp:extent cx="4133850" cy="2400300"/>
            <wp:effectExtent l="0" t="0" r="0" b="0"/>
            <wp:docPr id="3" name="Grafik 3" descr="H:\CM\Intern\PR_Öffentlichkeitsarbeit\21_MERGER\CLOSING COMM\Website\######Texts\Vorlagen\FINAL Factsheet &amp; Co\Final\DentsplySirona_Locations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21_MERGER\CLOSING COMM\Website\######Texts\Vorlagen\FINAL Factsheet &amp; Co\Final\DentsplySirona_Locations_E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3850" cy="2400300"/>
                    </a:xfrm>
                    <a:prstGeom prst="rect">
                      <a:avLst/>
                    </a:prstGeom>
                    <a:noFill/>
                    <a:ln>
                      <a:noFill/>
                    </a:ln>
                  </pic:spPr>
                </pic:pic>
              </a:graphicData>
            </a:graphic>
          </wp:inline>
        </w:drawing>
      </w:r>
    </w:p>
    <w:p w:rsidR="008B3071" w:rsidRDefault="008B3071">
      <w:pPr>
        <w:spacing w:after="0" w:line="240" w:lineRule="auto"/>
        <w:rPr>
          <w:lang w:eastAsia="ja-JP"/>
        </w:rPr>
      </w:pPr>
      <w:r>
        <w:rPr>
          <w:lang w:eastAsia="ja-JP"/>
        </w:rPr>
        <w:br w:type="page"/>
      </w:r>
    </w:p>
    <w:p w:rsidR="0038106A" w:rsidRPr="006A6FAF" w:rsidRDefault="0038106A" w:rsidP="001223B4">
      <w:pPr>
        <w:jc w:val="both"/>
        <w:rPr>
          <w:b/>
          <w:szCs w:val="20"/>
        </w:rPr>
      </w:pPr>
      <w:r w:rsidRPr="006A6FAF">
        <w:rPr>
          <w:b/>
          <w:szCs w:val="20"/>
        </w:rPr>
        <w:lastRenderedPageBreak/>
        <w:t>World’s largest manufacturer of professional dental products and technologies</w:t>
      </w:r>
    </w:p>
    <w:p w:rsidR="0038106A" w:rsidRPr="006A6FAF" w:rsidRDefault="0038106A" w:rsidP="001223B4">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 xml:space="preserve">The #1 professional dental company by global sales </w:t>
      </w:r>
    </w:p>
    <w:p w:rsidR="0038106A" w:rsidRPr="006A6FAF" w:rsidRDefault="0038106A" w:rsidP="001223B4">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Broadest portfolio in the global dental consumables market</w:t>
      </w:r>
    </w:p>
    <w:p w:rsidR="0038106A" w:rsidRPr="006A6FAF" w:rsidRDefault="0038106A" w:rsidP="001223B4">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 xml:space="preserve">Leading brands </w:t>
      </w:r>
    </w:p>
    <w:p w:rsidR="0038106A" w:rsidRPr="006A6FAF" w:rsidRDefault="0038106A" w:rsidP="001223B4">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Leader in digital dentistry, including CAD/CAM and imaging systems technology</w:t>
      </w:r>
    </w:p>
    <w:p w:rsidR="0038106A" w:rsidRPr="006A6FAF" w:rsidRDefault="0038106A" w:rsidP="0038106A">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Leading products across all specialty areas of dentistry</w:t>
      </w:r>
    </w:p>
    <w:p w:rsidR="0038106A" w:rsidRPr="006A6FAF" w:rsidRDefault="0038106A" w:rsidP="0038106A">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Proven integrated, end-to-end solutions to improve efficiency and advance patient care</w:t>
      </w:r>
    </w:p>
    <w:p w:rsidR="0038106A" w:rsidRPr="006A6FAF" w:rsidRDefault="0038106A" w:rsidP="0038106A">
      <w:pPr>
        <w:rPr>
          <w:b/>
          <w:szCs w:val="20"/>
        </w:rPr>
      </w:pPr>
      <w:r w:rsidRPr="006A6FAF">
        <w:rPr>
          <w:b/>
          <w:szCs w:val="20"/>
        </w:rPr>
        <w:t>Largest global infrastructure in dentistry</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Largest sales and customer service infrastructure in dental with approximately 15,000 employees and 5,000 distributors worldwide</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 xml:space="preserve">Sales in more than 120 countries </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 xml:space="preserve">Locations in more than 40 countries </w:t>
      </w:r>
    </w:p>
    <w:p w:rsidR="0038106A" w:rsidRPr="006A6FAF" w:rsidRDefault="0038106A" w:rsidP="0038106A">
      <w:pPr>
        <w:rPr>
          <w:b/>
          <w:szCs w:val="20"/>
        </w:rPr>
      </w:pPr>
      <w:r w:rsidRPr="006A6FAF">
        <w:rPr>
          <w:b/>
          <w:szCs w:val="20"/>
        </w:rPr>
        <w:t xml:space="preserve">Committed to innovation and education </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Leading R&amp;D platform with more than 600 engineers and scientists</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More than 3,000 patents and patent applications</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 xml:space="preserve">World-class innovators launching more than 30 significant new products annually </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Robust clinical education platform training more than 300,000 clinicians each year promoting clinical success and professional development</w:t>
      </w:r>
    </w:p>
    <w:p w:rsidR="0038106A" w:rsidRPr="006A6FAF" w:rsidRDefault="0038106A" w:rsidP="0038106A">
      <w:pPr>
        <w:rPr>
          <w:b/>
          <w:szCs w:val="20"/>
        </w:rPr>
      </w:pPr>
      <w:r w:rsidRPr="006A6FAF">
        <w:rPr>
          <w:b/>
          <w:szCs w:val="20"/>
        </w:rPr>
        <w:t>Driving major growth areas in dental</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Serving dental professionals in developed markets and the growing demand for dental solutions in developing countries</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sidDel="008903BA">
        <w:rPr>
          <w:rFonts w:cs="Arial"/>
          <w:sz w:val="20"/>
          <w:szCs w:val="20"/>
          <w:lang w:val="en-GB"/>
        </w:rPr>
        <w:t xml:space="preserve">Driving </w:t>
      </w:r>
      <w:r w:rsidRPr="006A6FAF">
        <w:rPr>
          <w:rFonts w:cs="Arial"/>
          <w:sz w:val="20"/>
          <w:szCs w:val="20"/>
          <w:lang w:val="en-GB"/>
        </w:rPr>
        <w:t>single-visit dentistry, reducing chair time and increasing productivity of dentists</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Integrated digital solutions produce better clinical outcomes, extraordinary patient experiences and outstanding job satisfaction for dentists and dental assistances</w:t>
      </w:r>
    </w:p>
    <w:p w:rsidR="0038106A" w:rsidRPr="006A6FAF" w:rsidRDefault="0038106A" w:rsidP="008B3071">
      <w:pPr>
        <w:pStyle w:val="Listenabsatz"/>
        <w:numPr>
          <w:ilvl w:val="0"/>
          <w:numId w:val="12"/>
        </w:numPr>
        <w:spacing w:after="120" w:line="276" w:lineRule="auto"/>
        <w:rPr>
          <w:rFonts w:cs="Arial"/>
          <w:sz w:val="20"/>
          <w:szCs w:val="20"/>
          <w:lang w:val="en-GB"/>
        </w:rPr>
      </w:pPr>
      <w:r w:rsidRPr="006A6FAF">
        <w:rPr>
          <w:rFonts w:cs="Arial"/>
          <w:sz w:val="20"/>
          <w:szCs w:val="20"/>
          <w:lang w:val="en-GB"/>
        </w:rPr>
        <w:t>Leader in high-growth specialty solutions</w:t>
      </w:r>
    </w:p>
    <w:p w:rsidR="0038106A" w:rsidRPr="006A6FAF" w:rsidRDefault="0038106A" w:rsidP="0038106A">
      <w:pPr>
        <w:rPr>
          <w:b/>
          <w:szCs w:val="20"/>
        </w:rPr>
      </w:pPr>
      <w:r w:rsidRPr="006A6FAF">
        <w:rPr>
          <w:b/>
          <w:szCs w:val="20"/>
        </w:rPr>
        <w:t xml:space="preserve">Financially strong </w:t>
      </w:r>
    </w:p>
    <w:p w:rsidR="0038106A" w:rsidRPr="006A6FAF" w:rsidRDefault="0038106A" w:rsidP="008B3071">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Robust cash flow and strong balance sheet with financial flexibility</w:t>
      </w:r>
    </w:p>
    <w:p w:rsidR="0038106A" w:rsidRPr="006A6FAF" w:rsidRDefault="0038106A" w:rsidP="008B3071">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Stronger position to lead on the cutting-edge of dentistry</w:t>
      </w:r>
    </w:p>
    <w:p w:rsidR="0038106A" w:rsidRDefault="0038106A" w:rsidP="008B3071">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Dentsply Sirona’s shares are listed in the United States on NASDAQ under the symbol X</w:t>
      </w:r>
      <w:bookmarkStart w:id="0" w:name="_GoBack"/>
      <w:bookmarkEnd w:id="0"/>
      <w:r w:rsidRPr="006A6FAF">
        <w:rPr>
          <w:rFonts w:cs="Arial"/>
          <w:sz w:val="20"/>
          <w:szCs w:val="20"/>
          <w:lang w:val="en-GB"/>
        </w:rPr>
        <w:t>RAY</w:t>
      </w:r>
    </w:p>
    <w:p w:rsidR="0038106A" w:rsidRPr="006A6FAF" w:rsidRDefault="0038106A" w:rsidP="008B3071">
      <w:pPr>
        <w:pStyle w:val="Listenabsatz"/>
        <w:numPr>
          <w:ilvl w:val="0"/>
          <w:numId w:val="12"/>
        </w:numPr>
        <w:spacing w:after="120" w:line="276" w:lineRule="auto"/>
        <w:jc w:val="both"/>
        <w:rPr>
          <w:rFonts w:cs="Arial"/>
          <w:sz w:val="20"/>
          <w:szCs w:val="20"/>
          <w:lang w:val="en-GB"/>
        </w:rPr>
      </w:pPr>
      <w:r w:rsidRPr="006A6FAF">
        <w:rPr>
          <w:rFonts w:cs="Arial"/>
          <w:sz w:val="20"/>
          <w:szCs w:val="20"/>
          <w:lang w:val="en-GB"/>
        </w:rPr>
        <w:t>In the 12 months ended December 31, 201</w:t>
      </w:r>
      <w:r w:rsidR="008B3071">
        <w:rPr>
          <w:rFonts w:cs="Arial"/>
          <w:sz w:val="20"/>
          <w:szCs w:val="20"/>
          <w:lang w:val="en-GB"/>
        </w:rPr>
        <w:t>6</w:t>
      </w:r>
      <w:r w:rsidRPr="006A6FAF">
        <w:rPr>
          <w:rFonts w:cs="Arial"/>
          <w:sz w:val="20"/>
          <w:szCs w:val="20"/>
          <w:lang w:val="en-GB"/>
        </w:rPr>
        <w:t xml:space="preserve">, the combined company had </w:t>
      </w:r>
      <w:r w:rsidR="008B3071">
        <w:rPr>
          <w:rFonts w:cs="Arial"/>
          <w:sz w:val="20"/>
          <w:szCs w:val="20"/>
          <w:lang w:val="en-GB"/>
        </w:rPr>
        <w:t>a</w:t>
      </w:r>
      <w:r w:rsidRPr="006A6FAF">
        <w:rPr>
          <w:rFonts w:cs="Arial"/>
          <w:sz w:val="20"/>
          <w:szCs w:val="20"/>
          <w:lang w:val="en-GB"/>
        </w:rPr>
        <w:t xml:space="preserve"> revenue of $</w:t>
      </w:r>
      <w:r w:rsidR="008B3071">
        <w:rPr>
          <w:rFonts w:cs="Arial"/>
          <w:sz w:val="20"/>
          <w:szCs w:val="20"/>
          <w:lang w:val="en-GB"/>
        </w:rPr>
        <w:t>3,7</w:t>
      </w:r>
      <w:r w:rsidRPr="006A6FAF">
        <w:rPr>
          <w:rFonts w:cs="Arial"/>
          <w:sz w:val="20"/>
          <w:szCs w:val="20"/>
          <w:lang w:val="en-GB"/>
        </w:rPr>
        <w:t>4 billion.</w:t>
      </w:r>
    </w:p>
    <w:p w:rsidR="0038106A" w:rsidRPr="006A6FAF" w:rsidRDefault="0038106A" w:rsidP="0038106A">
      <w:pPr>
        <w:pStyle w:val="Listenabsatz"/>
        <w:spacing w:after="120" w:line="276" w:lineRule="auto"/>
        <w:jc w:val="both"/>
        <w:rPr>
          <w:rFonts w:cs="Arial"/>
          <w:sz w:val="20"/>
          <w:szCs w:val="20"/>
          <w:lang w:val="en-GB"/>
        </w:rPr>
      </w:pPr>
    </w:p>
    <w:p w:rsidR="008B3071" w:rsidRDefault="008B3071">
      <w:pPr>
        <w:spacing w:after="0" w:line="240" w:lineRule="auto"/>
        <w:rPr>
          <w:b/>
          <w:szCs w:val="20"/>
        </w:rPr>
      </w:pPr>
      <w:r>
        <w:rPr>
          <w:b/>
          <w:szCs w:val="20"/>
        </w:rPr>
        <w:br w:type="page"/>
      </w:r>
    </w:p>
    <w:p w:rsidR="0038106A" w:rsidRPr="006A6FAF" w:rsidRDefault="0038106A" w:rsidP="0038106A">
      <w:pPr>
        <w:rPr>
          <w:b/>
          <w:szCs w:val="20"/>
        </w:rPr>
      </w:pPr>
      <w:r w:rsidRPr="006A6FAF">
        <w:rPr>
          <w:b/>
          <w:szCs w:val="20"/>
        </w:rPr>
        <w:lastRenderedPageBreak/>
        <w:t>The industry’s most experienced senior management team</w:t>
      </w:r>
    </w:p>
    <w:p w:rsidR="0038106A" w:rsidRPr="006A6FAF" w:rsidRDefault="0038106A" w:rsidP="00112579">
      <w:pPr>
        <w:pStyle w:val="Listenabsatz"/>
        <w:numPr>
          <w:ilvl w:val="0"/>
          <w:numId w:val="12"/>
        </w:numPr>
        <w:spacing w:after="120" w:line="276" w:lineRule="auto"/>
        <w:rPr>
          <w:rFonts w:cs="Arial"/>
          <w:sz w:val="20"/>
          <w:szCs w:val="20"/>
          <w:lang w:val="en-GB"/>
        </w:rPr>
      </w:pPr>
      <w:r w:rsidRPr="006A6FAF">
        <w:rPr>
          <w:rFonts w:cs="Arial"/>
          <w:sz w:val="20"/>
          <w:szCs w:val="20"/>
          <w:lang w:val="en-GB"/>
        </w:rPr>
        <w:t>Jeffrey T. Slovin, Chief Executive Officer</w:t>
      </w:r>
    </w:p>
    <w:p w:rsidR="0038106A" w:rsidRPr="006A6FAF" w:rsidRDefault="0038106A" w:rsidP="00112579">
      <w:pPr>
        <w:pStyle w:val="Listenabsatz"/>
        <w:numPr>
          <w:ilvl w:val="0"/>
          <w:numId w:val="12"/>
        </w:numPr>
        <w:spacing w:after="120" w:line="276" w:lineRule="auto"/>
        <w:rPr>
          <w:rFonts w:cs="Arial"/>
          <w:sz w:val="20"/>
          <w:szCs w:val="20"/>
          <w:lang w:val="en-GB"/>
        </w:rPr>
      </w:pPr>
      <w:r w:rsidRPr="006A6FAF">
        <w:rPr>
          <w:rFonts w:cs="Arial"/>
          <w:sz w:val="20"/>
          <w:szCs w:val="20"/>
          <w:lang w:val="en-GB"/>
        </w:rPr>
        <w:t>Ulrich Michel, Chief Financial Officer</w:t>
      </w:r>
    </w:p>
    <w:p w:rsidR="0038106A" w:rsidRPr="006A6FAF" w:rsidRDefault="0038106A" w:rsidP="00112579">
      <w:pPr>
        <w:pStyle w:val="Listenabsatz"/>
        <w:numPr>
          <w:ilvl w:val="0"/>
          <w:numId w:val="12"/>
        </w:numPr>
        <w:spacing w:after="120" w:line="276" w:lineRule="auto"/>
        <w:rPr>
          <w:rFonts w:cs="Arial"/>
          <w:sz w:val="20"/>
          <w:szCs w:val="20"/>
          <w:lang w:val="en-GB"/>
        </w:rPr>
      </w:pPr>
      <w:r w:rsidRPr="006A6FAF">
        <w:rPr>
          <w:rFonts w:cs="Arial"/>
          <w:sz w:val="20"/>
          <w:szCs w:val="20"/>
          <w:lang w:val="en-GB"/>
        </w:rPr>
        <w:t>Christopher T. Clark, President and Chief Operating Officer, Technologies</w:t>
      </w:r>
    </w:p>
    <w:p w:rsidR="00DF5DF1" w:rsidRPr="00112579" w:rsidRDefault="0038106A" w:rsidP="00112579">
      <w:pPr>
        <w:pStyle w:val="Listenabsatz"/>
        <w:numPr>
          <w:ilvl w:val="0"/>
          <w:numId w:val="12"/>
        </w:numPr>
        <w:spacing w:after="120" w:line="276" w:lineRule="auto"/>
        <w:rPr>
          <w:rFonts w:cs="Arial"/>
          <w:sz w:val="20"/>
          <w:szCs w:val="20"/>
          <w:lang w:val="en-GB"/>
        </w:rPr>
      </w:pPr>
      <w:r w:rsidRPr="00D83DD4">
        <w:rPr>
          <w:rFonts w:cs="Arial"/>
          <w:sz w:val="20"/>
          <w:szCs w:val="20"/>
          <w:lang w:val="en-GB"/>
        </w:rPr>
        <w:t>James G. Mosch, President and Chief Operating Officer, Dental and Healthcare Consumables</w:t>
      </w:r>
    </w:p>
    <w:p w:rsidR="00DF5DF1" w:rsidRPr="00112579" w:rsidRDefault="00DF5DF1" w:rsidP="00112579">
      <w:pPr>
        <w:pStyle w:val="Listenabsatz"/>
        <w:numPr>
          <w:ilvl w:val="0"/>
          <w:numId w:val="12"/>
        </w:numPr>
        <w:spacing w:after="120" w:line="276" w:lineRule="auto"/>
        <w:rPr>
          <w:rFonts w:cs="Arial"/>
          <w:sz w:val="20"/>
          <w:szCs w:val="20"/>
          <w:lang w:val="en-GB"/>
        </w:rPr>
      </w:pPr>
      <w:r w:rsidRPr="00112579">
        <w:rPr>
          <w:rFonts w:cs="Arial"/>
          <w:sz w:val="20"/>
          <w:szCs w:val="20"/>
          <w:lang w:val="en-GB"/>
        </w:rPr>
        <w:t>Maureen MacInnis, Senior Vice President and Chief Human Resources Officer</w:t>
      </w:r>
    </w:p>
    <w:p w:rsidR="00B05865" w:rsidRPr="00112579" w:rsidRDefault="00DF5DF1" w:rsidP="00112579">
      <w:pPr>
        <w:pStyle w:val="Listenabsatz"/>
        <w:numPr>
          <w:ilvl w:val="0"/>
          <w:numId w:val="12"/>
        </w:numPr>
        <w:spacing w:after="120" w:line="276" w:lineRule="auto"/>
        <w:rPr>
          <w:rFonts w:cs="Arial"/>
          <w:sz w:val="20"/>
          <w:szCs w:val="20"/>
          <w:lang w:val="en-GB"/>
        </w:rPr>
      </w:pPr>
      <w:r w:rsidRPr="00112579">
        <w:rPr>
          <w:rFonts w:cs="Arial"/>
          <w:sz w:val="20"/>
          <w:szCs w:val="20"/>
          <w:lang w:val="en-GB"/>
        </w:rPr>
        <w:t>Rainer Berthan, Executive Vice President, Manufacturing and Supply Chain und Operations Excellence</w:t>
      </w:r>
    </w:p>
    <w:sectPr w:rsidR="00B05865" w:rsidRPr="00112579"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410" w:rsidRDefault="00F76410" w:rsidP="005662A0">
      <w:r>
        <w:rPr>
          <w:color w:val="808080" w:themeColor="background1" w:themeShade="80"/>
        </w:rPr>
        <w:separator/>
      </w:r>
    </w:p>
  </w:endnote>
  <w:endnote w:type="continuationSeparator" w:id="0">
    <w:p w:rsidR="00F76410" w:rsidRDefault="00F7641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410" w:rsidRDefault="00F76410" w:rsidP="005662A0">
      <w:r>
        <w:rPr>
          <w:color w:val="808080" w:themeColor="background1" w:themeShade="80"/>
        </w:rPr>
        <w:separator/>
      </w:r>
    </w:p>
  </w:footnote>
  <w:footnote w:type="continuationSeparator" w:id="0">
    <w:p w:rsidR="00F76410" w:rsidRDefault="00F7641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053C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053C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053C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053C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1494F86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0"/>
  </w:num>
  <w:num w:numId="8">
    <w:abstractNumId w:val="5"/>
  </w:num>
  <w:num w:numId="9">
    <w:abstractNumId w:val="8"/>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4200D"/>
    <w:rsid w:val="000666B0"/>
    <w:rsid w:val="00093B76"/>
    <w:rsid w:val="000A1688"/>
    <w:rsid w:val="00112579"/>
    <w:rsid w:val="001201F6"/>
    <w:rsid w:val="001223B4"/>
    <w:rsid w:val="001452DE"/>
    <w:rsid w:val="001D0DED"/>
    <w:rsid w:val="002053CF"/>
    <w:rsid w:val="00230527"/>
    <w:rsid w:val="00233BC1"/>
    <w:rsid w:val="002420F1"/>
    <w:rsid w:val="00256BE7"/>
    <w:rsid w:val="00256D45"/>
    <w:rsid w:val="002D4E15"/>
    <w:rsid w:val="00370077"/>
    <w:rsid w:val="0038106A"/>
    <w:rsid w:val="0038709E"/>
    <w:rsid w:val="003B4C13"/>
    <w:rsid w:val="003D2F2F"/>
    <w:rsid w:val="003D375D"/>
    <w:rsid w:val="00461142"/>
    <w:rsid w:val="00462907"/>
    <w:rsid w:val="00476A76"/>
    <w:rsid w:val="004B041B"/>
    <w:rsid w:val="004B33C3"/>
    <w:rsid w:val="004D13F9"/>
    <w:rsid w:val="00502081"/>
    <w:rsid w:val="005662A0"/>
    <w:rsid w:val="005D6DA1"/>
    <w:rsid w:val="005F0B0B"/>
    <w:rsid w:val="00623E4A"/>
    <w:rsid w:val="006505B9"/>
    <w:rsid w:val="006537BB"/>
    <w:rsid w:val="006E586D"/>
    <w:rsid w:val="007157C2"/>
    <w:rsid w:val="00730893"/>
    <w:rsid w:val="00780E54"/>
    <w:rsid w:val="00797D11"/>
    <w:rsid w:val="007F6C26"/>
    <w:rsid w:val="008642EB"/>
    <w:rsid w:val="008B3071"/>
    <w:rsid w:val="008B7289"/>
    <w:rsid w:val="008C43F0"/>
    <w:rsid w:val="008D59DC"/>
    <w:rsid w:val="0092551F"/>
    <w:rsid w:val="00936562"/>
    <w:rsid w:val="009807BA"/>
    <w:rsid w:val="00A02D7F"/>
    <w:rsid w:val="00A05E70"/>
    <w:rsid w:val="00A75E93"/>
    <w:rsid w:val="00A778A8"/>
    <w:rsid w:val="00A82C88"/>
    <w:rsid w:val="00A961E0"/>
    <w:rsid w:val="00B05865"/>
    <w:rsid w:val="00B275B6"/>
    <w:rsid w:val="00B35C3B"/>
    <w:rsid w:val="00B52B9D"/>
    <w:rsid w:val="00BE5693"/>
    <w:rsid w:val="00C32F2E"/>
    <w:rsid w:val="00C55499"/>
    <w:rsid w:val="00CD3B89"/>
    <w:rsid w:val="00CE17EF"/>
    <w:rsid w:val="00D34B15"/>
    <w:rsid w:val="00D46987"/>
    <w:rsid w:val="00D64AF6"/>
    <w:rsid w:val="00D83DD4"/>
    <w:rsid w:val="00DB1D5F"/>
    <w:rsid w:val="00DF5DF1"/>
    <w:rsid w:val="00E00551"/>
    <w:rsid w:val="00E72CDE"/>
    <w:rsid w:val="00ED5E30"/>
    <w:rsid w:val="00F42537"/>
    <w:rsid w:val="00F76410"/>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389D7C"/>
  <w14:defaultImageDpi w14:val="300"/>
  <w15:docId w15:val="{B794E8BF-6724-4E38-81C0-48FB65ED0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457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91CB5-B09B-43AA-9C45-0043A6338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Salewski, Britt</cp:lastModifiedBy>
  <cp:revision>3</cp:revision>
  <cp:lastPrinted>2017-03-15T16:58:00Z</cp:lastPrinted>
  <dcterms:created xsi:type="dcterms:W3CDTF">2017-03-15T16:58:00Z</dcterms:created>
  <dcterms:modified xsi:type="dcterms:W3CDTF">2017-03-15T16:58:00Z</dcterms:modified>
</cp:coreProperties>
</file>